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DB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3042A">
        <w:rPr>
          <w:rFonts w:ascii="Tahoma" w:hAnsi="Tahoma" w:cs="Tahoma"/>
          <w:noProof/>
          <w:u w:val="single"/>
        </w:rPr>
        <w:drawing>
          <wp:inline distT="0" distB="0" distL="0" distR="0" wp14:anchorId="5F26BAAE" wp14:editId="6BD48D36">
            <wp:extent cx="5756910" cy="929005"/>
            <wp:effectExtent l="0" t="0" r="0" b="4445"/>
            <wp:docPr id="2" name="Obraz 2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ZAŁĄCZNIK NR 4.2</w:t>
      </w: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:rsidR="008041DB" w:rsidRPr="0053042A" w:rsidRDefault="008041DB" w:rsidP="008041DB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17</w:t>
      </w:r>
      <w:r w:rsidRPr="0053042A">
        <w:rPr>
          <w:rFonts w:ascii="Tahoma" w:hAnsi="Tahoma" w:cs="Tahoma"/>
          <w:b/>
          <w:i/>
          <w:iCs/>
          <w:sz w:val="16"/>
          <w:szCs w:val="16"/>
        </w:rPr>
        <w:t>/</w:t>
      </w:r>
      <w:r w:rsidRPr="0053042A">
        <w:rPr>
          <w:rFonts w:ascii="Tahoma" w:hAnsi="Tahoma" w:cs="Tahoma"/>
          <w:i/>
          <w:iCs/>
          <w:sz w:val="16"/>
          <w:szCs w:val="16"/>
        </w:rPr>
        <w:t>PN/CKZ/2019)</w:t>
      </w: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 w:rsidRPr="0053042A">
        <w:rPr>
          <w:rFonts w:ascii="Tahoma" w:hAnsi="Tahoma" w:cs="Tahoma"/>
          <w:b/>
          <w:sz w:val="22"/>
          <w:szCs w:val="20"/>
        </w:rPr>
        <w:t xml:space="preserve">Wykaz parametrów technicznych </w:t>
      </w:r>
    </w:p>
    <w:p w:rsidR="008041DB" w:rsidRPr="008041DB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olor w:val="FF0000"/>
          <w:sz w:val="22"/>
          <w:szCs w:val="20"/>
        </w:rPr>
      </w:pPr>
      <w:r w:rsidRPr="008041DB">
        <w:rPr>
          <w:rFonts w:ascii="Tahoma" w:hAnsi="Tahoma" w:cs="Tahoma"/>
          <w:b/>
          <w:color w:val="FF0000"/>
          <w:sz w:val="22"/>
          <w:szCs w:val="20"/>
        </w:rPr>
        <w:t xml:space="preserve">Drukarka </w:t>
      </w:r>
      <w:r w:rsidRPr="008041DB">
        <w:rPr>
          <w:rFonts w:ascii="Tahoma" w:hAnsi="Tahoma" w:cs="Tahoma"/>
          <w:b/>
          <w:color w:val="FF0000"/>
          <w:sz w:val="22"/>
          <w:szCs w:val="20"/>
        </w:rPr>
        <w:t>laserowa</w:t>
      </w: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(ZADANIE 2)</w:t>
      </w: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3042A">
        <w:rPr>
          <w:rFonts w:ascii="Tahoma" w:eastAsia="Calibri" w:hAnsi="Tahoma" w:cs="Tahoma"/>
          <w:b/>
          <w:sz w:val="20"/>
          <w:szCs w:val="20"/>
          <w:lang w:eastAsia="en-US"/>
        </w:rPr>
        <w:t>Uwaga:</w:t>
      </w:r>
      <w:r w:rsidRPr="0053042A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041DB" w:rsidRPr="0053042A" w:rsidRDefault="008041DB" w:rsidP="008041DB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53042A">
        <w:rPr>
          <w:rFonts w:ascii="Tahoma" w:eastAsia="Calibri" w:hAnsi="Tahoma" w:cs="Tahoma"/>
          <w:sz w:val="20"/>
          <w:szCs w:val="20"/>
          <w:lang w:eastAsia="en-US"/>
        </w:rPr>
        <w:t xml:space="preserve">W przypadku spełnienia poniższych wymagań należy zaznaczyć </w:t>
      </w:r>
      <w:r w:rsidRPr="0053042A">
        <w:rPr>
          <w:rFonts w:ascii="Tahoma" w:eastAsia="Calibri" w:hAnsi="Tahoma" w:cs="Tahoma"/>
          <w:b/>
          <w:sz w:val="20"/>
          <w:szCs w:val="20"/>
          <w:lang w:eastAsia="en-US"/>
        </w:rPr>
        <w:t>„spełnia”.</w:t>
      </w:r>
    </w:p>
    <w:p w:rsidR="008041DB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3042A">
        <w:rPr>
          <w:rFonts w:ascii="Tahoma" w:eastAsia="Calibri" w:hAnsi="Tahoma" w:cs="Tahoma"/>
          <w:sz w:val="20"/>
          <w:szCs w:val="20"/>
          <w:lang w:eastAsia="en-US"/>
        </w:rPr>
        <w:t>Zaznaczenie „nie spełnia” w którymkolwiek z punktów, s</w:t>
      </w:r>
      <w:bookmarkStart w:id="0" w:name="_GoBack"/>
      <w:bookmarkEnd w:id="0"/>
      <w:r w:rsidRPr="0053042A">
        <w:rPr>
          <w:rFonts w:ascii="Tahoma" w:eastAsia="Calibri" w:hAnsi="Tahoma" w:cs="Tahoma"/>
          <w:sz w:val="20"/>
          <w:szCs w:val="20"/>
          <w:lang w:eastAsia="en-US"/>
        </w:rPr>
        <w:t xml:space="preserve">kutkować będzie odrzuceniem oferty, jako nieodpowiadającej treści </w:t>
      </w:r>
      <w:proofErr w:type="spellStart"/>
      <w:r w:rsidRPr="0053042A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 w:rsidRPr="0053042A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8041DB" w:rsidRDefault="008041DB" w:rsidP="008041DB">
      <w:pPr>
        <w:spacing w:after="200" w:line="276" w:lineRule="auto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2370"/>
        <w:gridCol w:w="3537"/>
        <w:gridCol w:w="2895"/>
      </w:tblGrid>
      <w:tr w:rsidR="008041DB" w:rsidRPr="003400F0" w:rsidTr="000B6EF0">
        <w:tc>
          <w:tcPr>
            <w:tcW w:w="9288" w:type="dxa"/>
            <w:gridSpan w:val="4"/>
            <w:vAlign w:val="center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Drukarka laserowa A4 </w:t>
            </w:r>
          </w:p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  <w:r w:rsidRPr="003400F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szt.</w:t>
            </w:r>
          </w:p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8041DB" w:rsidRPr="003400F0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  <w:vAlign w:val="center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400F0">
              <w:rPr>
                <w:rFonts w:ascii="Tahoma" w:eastAsia="Calibri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2370" w:type="dxa"/>
            <w:vAlign w:val="center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537" w:type="dxa"/>
            <w:vAlign w:val="center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PARAMTERY OFEROWANE</w:t>
            </w:r>
          </w:p>
          <w:p w:rsidR="008041DB" w:rsidRDefault="008041DB" w:rsidP="000B6EF0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Prędkość druku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Tryb normalny: 38 str./min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Czas wydruku pierwszej strony (tryb gotowości)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6 s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Jakość druku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600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dpi</w:t>
            </w:r>
            <w:proofErr w:type="spellEnd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1200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Cykl roboczy (miesięczny)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do 80 000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Zalecana liczba stron drukowanych miesięcznie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4000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Technologia druku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Druk laserowy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Języki drukowania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PCL 5, PCL 6, emulacja Postscript Level 3, drukowanie bezpośrednie PDF (v1.7), URF, PCLM, PWG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Wyświetlacz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Dwuwierszowy, graficzny wyświetlacz LCD z podświetleniem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Wydajność tonera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3000 str. (zainstalowany), możliwość zainstalowania tonera wydajnego 9000 str.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Porty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val="en-US"/>
              </w:rPr>
              <w:t>1 port USB Hi-Speed 2.0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val="en-US"/>
              </w:rPr>
              <w:t xml:space="preserve">1 port USB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  <w:lang w:val="en-US"/>
              </w:rPr>
              <w:t>hosta</w:t>
            </w:r>
            <w:proofErr w:type="spellEnd"/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lastRenderedPageBreak/>
              <w:t>1 karta sieciowa Gigabit Ethernet 10/100/1000T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Standardowa pojemność podajnika papieru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Uniwersalny podajnik 1 na 100 arkuszy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podajnik 2 na 250 arkuszy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Opcjonalny trzeci podajnik na 550 arkuszy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Standardowa pojemność odbiornika papieru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Odbiornik papieru na 150 arkuszy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Drukowanie dwustronne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Automatyczne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8041DB" w:rsidRPr="003400F0" w:rsidTr="000B6EF0">
        <w:tc>
          <w:tcPr>
            <w:tcW w:w="486" w:type="dxa"/>
          </w:tcPr>
          <w:p w:rsidR="008041DB" w:rsidRPr="003400F0" w:rsidRDefault="008041DB" w:rsidP="000B6EF0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14</w:t>
            </w:r>
          </w:p>
        </w:tc>
        <w:tc>
          <w:tcPr>
            <w:tcW w:w="2370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Obsługa papieru</w:t>
            </w:r>
          </w:p>
        </w:tc>
        <w:tc>
          <w:tcPr>
            <w:tcW w:w="3537" w:type="dxa"/>
          </w:tcPr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Papier (zwykły,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EcoFFICIENT</w:t>
            </w:r>
            <w:proofErr w:type="spellEnd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lekki, ciężki, typu </w:t>
            </w:r>
            <w:proofErr w:type="spellStart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bond</w:t>
            </w:r>
            <w:proofErr w:type="spellEnd"/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, kolorowy, firmowy, wstępnie zadrukowany, dziurkowany, ekologiczny, szorstki), koperty, etykiety, folie przezroczyste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Podajnik 1: od 60 do 175 g/m²;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400F0">
              <w:rPr>
                <w:rFonts w:ascii="Tahoma" w:eastAsia="Times New Roman" w:hAnsi="Tahoma" w:cs="Tahoma"/>
                <w:bCs/>
                <w:sz w:val="18"/>
                <w:szCs w:val="18"/>
              </w:rPr>
              <w:t>Podajnik 2: od 60 do 120 g/m²</w:t>
            </w:r>
          </w:p>
        </w:tc>
        <w:tc>
          <w:tcPr>
            <w:tcW w:w="2895" w:type="dxa"/>
          </w:tcPr>
          <w:p w:rsidR="008041DB" w:rsidRDefault="008041DB" w:rsidP="000B6EF0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8041DB" w:rsidRPr="003400F0" w:rsidRDefault="008041DB" w:rsidP="000B6EF0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:rsidR="008041DB" w:rsidRPr="003400F0" w:rsidRDefault="008041DB" w:rsidP="008041DB">
      <w:pPr>
        <w:spacing w:after="200" w:line="276" w:lineRule="auto"/>
        <w:rPr>
          <w:rFonts w:ascii="Tahoma" w:hAnsi="Tahoma" w:cs="Tahoma"/>
          <w:sz w:val="18"/>
          <w:szCs w:val="18"/>
        </w:rPr>
      </w:pPr>
    </w:p>
    <w:p w:rsidR="008041DB" w:rsidRPr="003400F0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p w:rsidR="008041DB" w:rsidRPr="003400F0" w:rsidRDefault="008041DB" w:rsidP="008041D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:rsidR="008041DB" w:rsidRPr="003400F0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p w:rsidR="008041DB" w:rsidRPr="0053042A" w:rsidRDefault="008041DB" w:rsidP="008041DB">
      <w:pPr>
        <w:spacing w:line="252" w:lineRule="auto"/>
        <w:jc w:val="right"/>
        <w:rPr>
          <w:rFonts w:ascii="Tahoma" w:hAnsi="Tahoma" w:cs="Tahoma"/>
          <w:sz w:val="20"/>
          <w:szCs w:val="20"/>
        </w:rPr>
      </w:pPr>
      <w:r w:rsidRPr="003400F0">
        <w:rPr>
          <w:rFonts w:ascii="Tahoma" w:hAnsi="Tahoma" w:cs="Tahoma"/>
          <w:sz w:val="18"/>
          <w:szCs w:val="18"/>
        </w:rPr>
        <w:t xml:space="preserve"> </w:t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</w:r>
      <w:r w:rsidRPr="003400F0">
        <w:rPr>
          <w:rFonts w:ascii="Tahoma" w:hAnsi="Tahoma" w:cs="Tahoma"/>
          <w:sz w:val="18"/>
          <w:szCs w:val="18"/>
        </w:rPr>
        <w:tab/>
        <w:t xml:space="preserve"> ..</w:t>
      </w:r>
      <w:r w:rsidRPr="0053042A">
        <w:rPr>
          <w:rFonts w:ascii="Tahoma" w:hAnsi="Tahoma" w:cs="Tahoma"/>
          <w:sz w:val="20"/>
          <w:szCs w:val="20"/>
        </w:rPr>
        <w:t>......................………………………………………</w:t>
      </w:r>
    </w:p>
    <w:p w:rsidR="008041DB" w:rsidRPr="00A67A63" w:rsidRDefault="008041DB" w:rsidP="008041DB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(up</w:t>
      </w:r>
      <w:r>
        <w:rPr>
          <w:rFonts w:ascii="Tahoma" w:hAnsi="Tahoma" w:cs="Tahoma"/>
          <w:i/>
          <w:sz w:val="16"/>
          <w:szCs w:val="16"/>
        </w:rPr>
        <w:t>oważnion</w:t>
      </w:r>
      <w:r w:rsidRPr="00A67A63">
        <w:rPr>
          <w:rFonts w:ascii="Tahoma" w:hAnsi="Tahoma" w:cs="Tahoma"/>
          <w:i/>
          <w:sz w:val="16"/>
          <w:szCs w:val="16"/>
        </w:rPr>
        <w:t xml:space="preserve">y przedstawiciel Wykonawcy (Wykonawca) </w:t>
      </w: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041DB" w:rsidRPr="0053042A" w:rsidRDefault="008041DB" w:rsidP="008041DB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8912BA" w:rsidRPr="008131AF" w:rsidRDefault="008912BA" w:rsidP="00F056DD">
      <w:pPr>
        <w:jc w:val="both"/>
        <w:rPr>
          <w:rFonts w:ascii="Tahoma" w:hAnsi="Tahoma" w:cs="Tahoma"/>
          <w:sz w:val="20"/>
          <w:szCs w:val="20"/>
        </w:rPr>
      </w:pPr>
    </w:p>
    <w:sectPr w:rsidR="008912BA" w:rsidRPr="0081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CB"/>
    <w:multiLevelType w:val="hybridMultilevel"/>
    <w:tmpl w:val="D980B51E"/>
    <w:lvl w:ilvl="0" w:tplc="E880239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A5D"/>
    <w:multiLevelType w:val="hybridMultilevel"/>
    <w:tmpl w:val="2FB6B766"/>
    <w:lvl w:ilvl="0" w:tplc="8384E8D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46A9"/>
    <w:multiLevelType w:val="hybridMultilevel"/>
    <w:tmpl w:val="5ECA08C4"/>
    <w:lvl w:ilvl="0" w:tplc="4B82323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48D7218"/>
    <w:multiLevelType w:val="hybridMultilevel"/>
    <w:tmpl w:val="EEAE47A4"/>
    <w:lvl w:ilvl="0" w:tplc="9CA4CAA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5293CBB"/>
    <w:multiLevelType w:val="hybridMultilevel"/>
    <w:tmpl w:val="06F41856"/>
    <w:lvl w:ilvl="0" w:tplc="139A39B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F52B6"/>
    <w:multiLevelType w:val="hybridMultilevel"/>
    <w:tmpl w:val="B540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E1845"/>
    <w:rsid w:val="0012746F"/>
    <w:rsid w:val="001A56DE"/>
    <w:rsid w:val="001C3CF8"/>
    <w:rsid w:val="001D0D1E"/>
    <w:rsid w:val="00285DE2"/>
    <w:rsid w:val="0030322E"/>
    <w:rsid w:val="00523723"/>
    <w:rsid w:val="008041DB"/>
    <w:rsid w:val="008131AF"/>
    <w:rsid w:val="00842320"/>
    <w:rsid w:val="008912BA"/>
    <w:rsid w:val="008F0092"/>
    <w:rsid w:val="009571D6"/>
    <w:rsid w:val="00A3221C"/>
    <w:rsid w:val="00C237DB"/>
    <w:rsid w:val="00C7357A"/>
    <w:rsid w:val="00CB4255"/>
    <w:rsid w:val="00D81DB1"/>
    <w:rsid w:val="00DE4463"/>
    <w:rsid w:val="00F056DD"/>
    <w:rsid w:val="00F23D23"/>
    <w:rsid w:val="00F84C27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A56DE"/>
    <w:pPr>
      <w:spacing w:before="100" w:beforeAutospacing="1" w:after="100" w:afterAutospacing="1"/>
      <w:jc w:val="both"/>
    </w:pPr>
    <w:rPr>
      <w:rFonts w:eastAsia="Times New Roman"/>
      <w:color w:val="auto"/>
      <w:sz w:val="20"/>
      <w:szCs w:val="20"/>
    </w:rPr>
  </w:style>
  <w:style w:type="paragraph" w:customStyle="1" w:styleId="Standardowytekst">
    <w:name w:val="Standardowy.tekst"/>
    <w:rsid w:val="001A56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1A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link w:val="Akapitzlist"/>
    <w:uiPriority w:val="34"/>
    <w:locked/>
    <w:rsid w:val="0030322E"/>
  </w:style>
  <w:style w:type="table" w:customStyle="1" w:styleId="Tabela-Siatka1">
    <w:name w:val="Tabela - Siatka1"/>
    <w:basedOn w:val="Standardowy"/>
    <w:next w:val="Tabela-Siatka"/>
    <w:uiPriority w:val="59"/>
    <w:rsid w:val="0080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B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A56DE"/>
    <w:pPr>
      <w:spacing w:before="100" w:beforeAutospacing="1" w:after="100" w:afterAutospacing="1"/>
      <w:jc w:val="both"/>
    </w:pPr>
    <w:rPr>
      <w:rFonts w:eastAsia="Times New Roman"/>
      <w:color w:val="auto"/>
      <w:sz w:val="20"/>
      <w:szCs w:val="20"/>
    </w:rPr>
  </w:style>
  <w:style w:type="paragraph" w:customStyle="1" w:styleId="Standardowytekst">
    <w:name w:val="Standardowy.tekst"/>
    <w:rsid w:val="001A56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1A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link w:val="Akapitzlist"/>
    <w:uiPriority w:val="34"/>
    <w:locked/>
    <w:rsid w:val="0030322E"/>
  </w:style>
  <w:style w:type="table" w:customStyle="1" w:styleId="Tabela-Siatka1">
    <w:name w:val="Tabela - Siatka1"/>
    <w:basedOn w:val="Standardowy"/>
    <w:next w:val="Tabela-Siatka"/>
    <w:uiPriority w:val="59"/>
    <w:rsid w:val="0080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B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</cp:revision>
  <cp:lastPrinted>2019-09-18T07:34:00Z</cp:lastPrinted>
  <dcterms:created xsi:type="dcterms:W3CDTF">2019-10-30T13:19:00Z</dcterms:created>
  <dcterms:modified xsi:type="dcterms:W3CDTF">2019-10-30T13:19:00Z</dcterms:modified>
</cp:coreProperties>
</file>