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6293" w14:textId="77777777" w:rsidR="006F79EE" w:rsidRDefault="006F79EE" w:rsidP="006F79EE">
      <w:pPr>
        <w:autoSpaceDE w:val="0"/>
        <w:rPr>
          <w:rFonts w:ascii="Tahoma" w:hAnsi="Tahoma" w:cs="Tahoma"/>
          <w:b/>
          <w:bCs/>
          <w:i/>
          <w:iCs/>
          <w:kern w:val="2"/>
          <w:sz w:val="18"/>
          <w:szCs w:val="18"/>
        </w:rPr>
      </w:pPr>
    </w:p>
    <w:p w14:paraId="5CFEA9D8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>ZAŁĄCZNIK NR 2.1</w:t>
      </w:r>
    </w:p>
    <w:p w14:paraId="30C6BAD5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52FA3E6A" w14:textId="77777777" w:rsidR="006F79EE" w:rsidRDefault="006F79EE" w:rsidP="006F79EE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(nr sprawy: 16</w:t>
      </w:r>
      <w:r>
        <w:rPr>
          <w:rFonts w:ascii="Tahoma" w:hAnsi="Tahoma" w:cs="Tahoma"/>
          <w:b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TP/CKZ/2020)</w:t>
      </w:r>
    </w:p>
    <w:p w14:paraId="65395BD2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4847608" w14:textId="77777777" w:rsidR="006F79EE" w:rsidRDefault="006F79EE" w:rsidP="006F79EE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u w:val="single"/>
          <w:lang w:eastAsia="en-US" w:bidi="ar-SA"/>
        </w:rPr>
      </w:pPr>
    </w:p>
    <w:p w14:paraId="48B0FC94" w14:textId="77777777" w:rsidR="006F79EE" w:rsidRDefault="006F79EE" w:rsidP="006F79EE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48D69447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kern w:val="2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6B0351D0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79669996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KOMPUTER STACJONARNY Z MONITOREM I OPROGRAMOWANIEM (16 sztuk)</w:t>
      </w:r>
    </w:p>
    <w:p w14:paraId="701F079A" w14:textId="77777777" w:rsidR="006F79EE" w:rsidRDefault="006F79EE" w:rsidP="006F79EE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71737F60" w14:textId="77777777" w:rsidR="006F79EE" w:rsidRDefault="006F79EE" w:rsidP="006F79EE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76EA7D62" w14:textId="77777777" w:rsidR="006F79EE" w:rsidRDefault="006F79EE" w:rsidP="006F79EE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1CD90E04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4DFB7B35" w14:textId="77777777" w:rsidR="006F79EE" w:rsidRDefault="006F79EE" w:rsidP="006F79EE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43B26C3B" w14:textId="77777777" w:rsidR="006F79EE" w:rsidRDefault="006F79EE" w:rsidP="006F79EE">
      <w:pPr>
        <w:spacing w:line="288" w:lineRule="auto"/>
        <w:rPr>
          <w:rFonts w:ascii="Tahoma" w:eastAsia="Times New Roman" w:hAnsi="Tahoma" w:cs="Tahoma"/>
          <w:kern w:val="2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UWAGA: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odrzuceniem oferty, jako niezgodnej z dokumentami zamówienia</w:t>
      </w:r>
      <w:r>
        <w:rPr>
          <w:rFonts w:ascii="Tahoma" w:eastAsia="Times New Roman" w:hAnsi="Tahoma" w:cs="Tahoma"/>
          <w:sz w:val="18"/>
          <w:szCs w:val="18"/>
        </w:rPr>
        <w:t>).</w:t>
      </w:r>
    </w:p>
    <w:p w14:paraId="2EEEF451" w14:textId="77777777" w:rsidR="006F79EE" w:rsidRDefault="006F79EE" w:rsidP="006F79EE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201F9BF2" w14:textId="77777777" w:rsidR="006F79EE" w:rsidRDefault="006F79EE" w:rsidP="006F79EE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Producent: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77AE688E" w14:textId="77777777" w:rsidR="006F79EE" w:rsidRDefault="006F79EE" w:rsidP="006F79EE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Model: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78EE0106" w14:textId="77777777" w:rsidR="006F79EE" w:rsidRDefault="006F79EE" w:rsidP="006F79EE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Rok produkcji: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5F08712C" w14:textId="77777777" w:rsidR="00072C59" w:rsidRDefault="00072C59" w:rsidP="006F79EE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sz w:val="18"/>
          <w:szCs w:val="18"/>
          <w:u w:val="single"/>
        </w:rPr>
      </w:pPr>
    </w:p>
    <w:p w14:paraId="01512368" w14:textId="525E59DD" w:rsidR="009726CC" w:rsidRDefault="009726CC" w:rsidP="00EB284D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952"/>
        <w:gridCol w:w="5812"/>
        <w:gridCol w:w="1701"/>
      </w:tblGrid>
      <w:tr w:rsidR="006F79EE" w:rsidRPr="004109AA" w14:paraId="4BB1BC61" w14:textId="3EF0948D" w:rsidTr="00043DF6">
        <w:trPr>
          <w:trHeight w:hRule="exact" w:val="2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F5EF72" w14:textId="77777777" w:rsidR="006F79EE" w:rsidRPr="004109AA" w:rsidRDefault="006F79EE" w:rsidP="00791EB7">
            <w:pPr>
              <w:pStyle w:val="Inne0"/>
              <w:jc w:val="center"/>
            </w:pPr>
            <w:r w:rsidRPr="004109AA">
              <w:rPr>
                <w:b/>
                <w:bCs/>
              </w:rPr>
              <w:t>LP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EFA734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ATRYBUT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57F9" w14:textId="77777777" w:rsidR="006F79EE" w:rsidRPr="004109AA" w:rsidRDefault="006F79EE" w:rsidP="00791EB7">
            <w:pPr>
              <w:pStyle w:val="Inne0"/>
              <w:jc w:val="both"/>
            </w:pPr>
            <w:r w:rsidRPr="004109AA">
              <w:rPr>
                <w:b/>
                <w:bCs/>
              </w:rPr>
              <w:t>OPIS ATRYBUTU - WYMAGANIA MINIMALNE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BF37" w14:textId="73942184" w:rsidR="006F79EE" w:rsidRPr="004109AA" w:rsidRDefault="006F79EE" w:rsidP="00791EB7">
            <w:pPr>
              <w:pStyle w:val="Inne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proofErr w:type="spellStart"/>
            <w:r>
              <w:rPr>
                <w:b/>
                <w:bCs/>
              </w:rPr>
              <w:t>OFEROWANE</w:t>
            </w:r>
            <w:r w:rsidRPr="00EE5626">
              <w:rPr>
                <w:b/>
              </w:rPr>
              <w:t>spełnia</w:t>
            </w:r>
            <w:proofErr w:type="spellEnd"/>
            <w:r w:rsidRPr="00EE5626">
              <w:rPr>
                <w:b/>
              </w:rPr>
              <w:t>/nie spełnia</w:t>
            </w:r>
          </w:p>
        </w:tc>
      </w:tr>
      <w:tr w:rsidR="006F79EE" w:rsidRPr="004109AA" w14:paraId="4D9998A6" w14:textId="75D75A39" w:rsidTr="00043DF6">
        <w:trPr>
          <w:trHeight w:hRule="exact" w:val="217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94B5AB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A588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Obudowa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46CE" w14:textId="77777777" w:rsidR="006F79EE" w:rsidRDefault="006F79EE" w:rsidP="00673C00">
            <w:pPr>
              <w:pStyle w:val="Inne0"/>
              <w:tabs>
                <w:tab w:val="left" w:pos="2741"/>
                <w:tab w:val="left" w:pos="5150"/>
                <w:tab w:val="left" w:pos="7037"/>
              </w:tabs>
            </w:pPr>
            <w:r w:rsidRPr="004109AA">
              <w:t>Typ MT - umożliwiająca instalację 1 szt. napędu optycznego w wersji</w:t>
            </w:r>
            <w:r w:rsidRPr="004109AA">
              <w:br/>
            </w:r>
            <w:proofErr w:type="spellStart"/>
            <w:r w:rsidRPr="004109AA">
              <w:t>slim</w:t>
            </w:r>
            <w:proofErr w:type="spellEnd"/>
            <w:r w:rsidRPr="004109AA">
              <w:t>. Miejsce na czytnik kart pamięci. Miejsce na porty USB - 4 szt. na przednim panelu.</w:t>
            </w:r>
            <w:r w:rsidRPr="004109AA">
              <w:br/>
              <w:t>Gniazdo słuchawkowe (</w:t>
            </w:r>
            <w:proofErr w:type="spellStart"/>
            <w:r w:rsidRPr="004109AA">
              <w:t>combo</w:t>
            </w:r>
            <w:proofErr w:type="spellEnd"/>
            <w:r w:rsidRPr="004109AA">
              <w:t xml:space="preserve"> lub słuchawki + mikrofon) na przednim panelu.</w:t>
            </w:r>
            <w:r w:rsidRPr="004109AA">
              <w:br/>
              <w:t xml:space="preserve">Zabezpieczenie </w:t>
            </w:r>
            <w:proofErr w:type="spellStart"/>
            <w:r w:rsidRPr="004109AA">
              <w:t>Kensington</w:t>
            </w:r>
            <w:proofErr w:type="spellEnd"/>
            <w:r w:rsidRPr="004109AA">
              <w:t xml:space="preserve"> Lock + zaczep do kłódki. Wymiary maksymalne: szerokość: 160mm; wysokość: 3</w:t>
            </w:r>
            <w:r>
              <w:t>4</w:t>
            </w:r>
            <w:r w:rsidRPr="004109AA">
              <w:t>0mm; głębokość: 300mm.</w:t>
            </w:r>
          </w:p>
          <w:p w14:paraId="57F42E1B" w14:textId="45CB7347" w:rsidR="006F79EE" w:rsidRPr="004109AA" w:rsidRDefault="006F79EE" w:rsidP="00673C00">
            <w:pPr>
              <w:pStyle w:val="Inne0"/>
              <w:tabs>
                <w:tab w:val="left" w:pos="2741"/>
                <w:tab w:val="left" w:pos="5150"/>
                <w:tab w:val="left" w:pos="7037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D3437" w14:textId="715DB238" w:rsidR="006F79EE" w:rsidRPr="004109AA" w:rsidRDefault="006F79EE" w:rsidP="00673C00">
            <w:pPr>
              <w:pStyle w:val="Inne0"/>
              <w:tabs>
                <w:tab w:val="left" w:pos="2741"/>
                <w:tab w:val="left" w:pos="5150"/>
                <w:tab w:val="left" w:pos="7037"/>
              </w:tabs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16FA8477" w14:textId="4CB91765" w:rsidTr="00043DF6">
        <w:trPr>
          <w:trHeight w:hRule="exact" w:val="1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20627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2C495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Zasilacz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08E5" w14:textId="77777777" w:rsidR="006F79EE" w:rsidRDefault="006F79EE" w:rsidP="00673C00">
            <w:pPr>
              <w:pStyle w:val="Inne0"/>
            </w:pPr>
            <w:r w:rsidRPr="004109AA">
              <w:t xml:space="preserve">Moc adekwatna do proponowanego zestawu, umożliwiająca bezproblemową pracę komputera przy pełnym wyposażeniu w dodatkowe urządzenia podpięte przez porty i </w:t>
            </w:r>
            <w:proofErr w:type="spellStart"/>
            <w:r w:rsidRPr="004109AA">
              <w:t>sloty</w:t>
            </w:r>
            <w:proofErr w:type="spellEnd"/>
            <w:r w:rsidRPr="004109AA">
              <w:t xml:space="preserve"> rozszerzeń. Sprawność zasilacza na poziomie minimum 85 % przy obciążeniu 100% (Certyfikat </w:t>
            </w:r>
            <w:proofErr w:type="spellStart"/>
            <w:r w:rsidRPr="004109AA">
              <w:t>Bronze</w:t>
            </w:r>
            <w:proofErr w:type="spellEnd"/>
            <w:r w:rsidRPr="004109AA">
              <w:t>).</w:t>
            </w:r>
          </w:p>
          <w:p w14:paraId="5753EABB" w14:textId="77777777" w:rsidR="006F79EE" w:rsidRDefault="006F79EE" w:rsidP="00673C00">
            <w:pPr>
              <w:pStyle w:val="Inne0"/>
            </w:pPr>
          </w:p>
          <w:p w14:paraId="262C6A4F" w14:textId="77777777" w:rsidR="006F79EE" w:rsidRDefault="006F79EE" w:rsidP="00673C00">
            <w:pPr>
              <w:pStyle w:val="Inne0"/>
            </w:pPr>
          </w:p>
          <w:p w14:paraId="7335CE03" w14:textId="77777777" w:rsidR="006F79EE" w:rsidRDefault="006F79EE" w:rsidP="00673C00">
            <w:pPr>
              <w:pStyle w:val="Inne0"/>
            </w:pPr>
          </w:p>
          <w:p w14:paraId="69AC6DBB" w14:textId="10F71D90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3495E" w14:textId="53C87D28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6F79EE" w14:paraId="0ED3F1B8" w14:textId="25E28686" w:rsidTr="00043DF6">
        <w:trPr>
          <w:trHeight w:hRule="exact" w:val="24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8816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A1546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Procesor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2719" w14:textId="1EF2BCF1" w:rsidR="006F79EE" w:rsidRPr="004109AA" w:rsidRDefault="006F79EE" w:rsidP="00673C00">
            <w:pPr>
              <w:pStyle w:val="Inne0"/>
              <w:tabs>
                <w:tab w:val="left" w:pos="989"/>
                <w:tab w:val="left" w:pos="2534"/>
                <w:tab w:val="left" w:pos="4358"/>
                <w:tab w:val="left" w:pos="5102"/>
                <w:tab w:val="left" w:pos="6192"/>
              </w:tabs>
            </w:pPr>
            <w:r w:rsidRPr="004109AA">
              <w:rPr>
                <w:rFonts w:eastAsia="Arial"/>
              </w:rPr>
              <w:t>Architektura x86. Chłodzenie kompatybilne z procesorem, płytą główną i obudową.</w:t>
            </w:r>
            <w:r w:rsidRPr="004109AA">
              <w:rPr>
                <w:rFonts w:eastAsia="Arial"/>
              </w:rPr>
              <w:br/>
              <w:t>Procesor zaprojektowany do pracy w komputerach stacjonarnych, wydajnościowo</w:t>
            </w:r>
            <w:r w:rsidRPr="004109AA">
              <w:rPr>
                <w:rFonts w:eastAsia="Arial"/>
              </w:rPr>
              <w:br/>
            </w:r>
            <w:r w:rsidRPr="004109AA">
              <w:rPr>
                <w:rFonts w:eastAsia="Arial"/>
                <w:b/>
                <w:bCs/>
              </w:rPr>
              <w:t xml:space="preserve">osiągający wynik co najmniej </w:t>
            </w:r>
            <w:r>
              <w:rPr>
                <w:rFonts w:eastAsia="Arial"/>
                <w:b/>
                <w:bCs/>
              </w:rPr>
              <w:t>11700</w:t>
            </w:r>
            <w:r w:rsidRPr="004109AA">
              <w:rPr>
                <w:rFonts w:eastAsia="Arial"/>
                <w:b/>
                <w:bCs/>
              </w:rPr>
              <w:t xml:space="preserve"> pkt w teście </w:t>
            </w:r>
            <w:proofErr w:type="spellStart"/>
            <w:r w:rsidRPr="004109AA">
              <w:rPr>
                <w:rFonts w:eastAsia="Arial"/>
                <w:b/>
                <w:bCs/>
              </w:rPr>
              <w:t>PassMark</w:t>
            </w:r>
            <w:proofErr w:type="spellEnd"/>
            <w:r w:rsidRPr="004109AA">
              <w:rPr>
                <w:rFonts w:eastAsia="Arial"/>
                <w:b/>
                <w:bCs/>
              </w:rPr>
              <w:t xml:space="preserve"> CPU</w:t>
            </w:r>
            <w:r w:rsidRPr="004109AA">
              <w:rPr>
                <w:rFonts w:eastAsia="Arial"/>
              </w:rPr>
              <w:t>, według wyników na</w:t>
            </w:r>
            <w:r w:rsidRPr="004109AA">
              <w:rPr>
                <w:rFonts w:eastAsia="Arial"/>
              </w:rPr>
              <w:br/>
              <w:t>dzień</w:t>
            </w:r>
            <w:r w:rsidRPr="004109AA">
              <w:rPr>
                <w:rFonts w:eastAsia="Arial"/>
              </w:rPr>
              <w:tab/>
            </w:r>
            <w:r>
              <w:rPr>
                <w:rFonts w:eastAsia="Arial"/>
              </w:rPr>
              <w:t>przygotowania oferty,</w:t>
            </w:r>
            <w:r w:rsidRPr="004109AA">
              <w:rPr>
                <w:rFonts w:eastAsia="Arial"/>
              </w:rPr>
              <w:tab/>
              <w:t>opublikowanych</w:t>
            </w:r>
            <w:r w:rsidRPr="004109AA">
              <w:rPr>
                <w:rFonts w:eastAsia="Arial"/>
              </w:rPr>
              <w:tab/>
              <w:t>na</w:t>
            </w:r>
            <w:r w:rsidRPr="004109AA">
              <w:rPr>
                <w:rFonts w:eastAsia="Arial"/>
              </w:rPr>
              <w:tab/>
              <w:t>stronie</w:t>
            </w:r>
            <w:r w:rsidRPr="004109AA">
              <w:rPr>
                <w:rFonts w:eastAsia="Arial"/>
              </w:rPr>
              <w:tab/>
              <w:t>internetowej</w:t>
            </w:r>
          </w:p>
          <w:p w14:paraId="15555002" w14:textId="77777777" w:rsidR="006F79EE" w:rsidRDefault="00096DB8" w:rsidP="00673C00">
            <w:pPr>
              <w:pStyle w:val="Inne0"/>
              <w:rPr>
                <w:rStyle w:val="Hipercze"/>
                <w:rFonts w:eastAsia="Arial"/>
                <w:lang w:val="en-US" w:bidi="en-US"/>
              </w:rPr>
            </w:pPr>
            <w:hyperlink r:id="rId8" w:history="1">
              <w:r w:rsidR="006F79EE" w:rsidRPr="004109AA">
                <w:rPr>
                  <w:rStyle w:val="Hipercze"/>
                  <w:rFonts w:eastAsia="Arial"/>
                  <w:lang w:val="en-US" w:bidi="en-US"/>
                </w:rPr>
                <w:t xml:space="preserve">https://www.cpubenchmark.net/high </w:t>
              </w:r>
              <w:r w:rsidR="006F79EE" w:rsidRPr="004A5F0B">
                <w:rPr>
                  <w:rStyle w:val="Hipercze"/>
                  <w:rFonts w:eastAsia="Arial"/>
                  <w:lang w:val="en-US"/>
                </w:rPr>
                <w:t xml:space="preserve">end </w:t>
              </w:r>
              <w:r w:rsidR="006F79EE" w:rsidRPr="004109AA">
                <w:rPr>
                  <w:rStyle w:val="Hipercze"/>
                  <w:rFonts w:eastAsia="Arial"/>
                  <w:lang w:val="en-US" w:bidi="en-US"/>
                </w:rPr>
                <w:t>cpus.html</w:t>
              </w:r>
            </w:hyperlink>
          </w:p>
          <w:p w14:paraId="3F2BCFE9" w14:textId="1D8BC019" w:rsidR="006F79EE" w:rsidRPr="004A5F0B" w:rsidRDefault="006F79EE" w:rsidP="00673C00">
            <w:pPr>
              <w:pStyle w:val="Inne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8164" w14:textId="2118DBA8" w:rsidR="006F79EE" w:rsidRPr="006F79EE" w:rsidRDefault="006F79EE" w:rsidP="00673C00">
            <w:pPr>
              <w:pStyle w:val="Inne0"/>
              <w:tabs>
                <w:tab w:val="left" w:pos="989"/>
                <w:tab w:val="left" w:pos="2534"/>
                <w:tab w:val="left" w:pos="4358"/>
                <w:tab w:val="left" w:pos="5102"/>
                <w:tab w:val="left" w:pos="6192"/>
              </w:tabs>
              <w:rPr>
                <w:rFonts w:eastAsia="Arial"/>
                <w:lang w:val="en-US"/>
              </w:rPr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70ACC6AF" w14:textId="4B23DACE" w:rsidTr="00043DF6">
        <w:trPr>
          <w:trHeight w:hRule="exact" w:val="32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CCBAD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lastRenderedPageBreak/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E8FA7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Płyta</w:t>
            </w:r>
            <w:r w:rsidRPr="004109AA">
              <w:rPr>
                <w:b/>
                <w:bCs/>
              </w:rPr>
              <w:br/>
              <w:t>główna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7785" w14:textId="18878FF9" w:rsidR="006F79EE" w:rsidRPr="004109AA" w:rsidRDefault="006F79EE" w:rsidP="00673C00">
            <w:pPr>
              <w:pStyle w:val="Inne0"/>
              <w:tabs>
                <w:tab w:val="left" w:pos="1205"/>
                <w:tab w:val="left" w:pos="1555"/>
                <w:tab w:val="left" w:pos="2568"/>
                <w:tab w:val="left" w:pos="3773"/>
                <w:tab w:val="left" w:pos="4013"/>
                <w:tab w:val="left" w:pos="5083"/>
                <w:tab w:val="left" w:pos="5880"/>
                <w:tab w:val="left" w:pos="6950"/>
              </w:tabs>
            </w:pPr>
            <w:r w:rsidRPr="004109AA">
              <w:t>Wyposażona</w:t>
            </w:r>
            <w:r w:rsidRPr="004109AA">
              <w:tab/>
              <w:t>w</w:t>
            </w:r>
            <w:r w:rsidRPr="004109AA">
              <w:tab/>
              <w:t>niezbędne</w:t>
            </w:r>
            <w:r w:rsidRPr="004109AA">
              <w:tab/>
              <w:t>okablowanie</w:t>
            </w:r>
            <w:r w:rsidRPr="004109AA">
              <w:tab/>
              <w:t>i</w:t>
            </w:r>
            <w:r w:rsidRPr="004109AA">
              <w:tab/>
              <w:t>sterowniki.</w:t>
            </w:r>
            <w:r w:rsidRPr="004109AA">
              <w:tab/>
              <w:t>Chipset</w:t>
            </w:r>
            <w:r w:rsidR="00673C00">
              <w:t xml:space="preserve"> </w:t>
            </w:r>
            <w:r w:rsidRPr="004109AA">
              <w:t>adekwatny</w:t>
            </w:r>
            <w:r w:rsidRPr="004109AA">
              <w:tab/>
              <w:t>do</w:t>
            </w:r>
            <w:r w:rsidR="00673C00">
              <w:t xml:space="preserve"> </w:t>
            </w:r>
            <w:r w:rsidRPr="004109AA">
              <w:t>zaproponowanego procesora. Posiadane gniazda rozszerzeń:</w:t>
            </w:r>
          </w:p>
          <w:p w14:paraId="2CDD0302" w14:textId="77777777" w:rsidR="006F79EE" w:rsidRPr="004109AA" w:rsidRDefault="006F79EE" w:rsidP="00673C00">
            <w:pPr>
              <w:pStyle w:val="Inne0"/>
            </w:pPr>
            <w:r w:rsidRPr="004109AA">
              <w:t>PCI Express 3.0 x16 - 1 szt.</w:t>
            </w:r>
          </w:p>
          <w:p w14:paraId="35C92776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 xml:space="preserve">PCI Express 3.0 x1 - 2 </w:t>
            </w:r>
            <w:proofErr w:type="spellStart"/>
            <w:r w:rsidRPr="004109AA">
              <w:t>szt</w:t>
            </w:r>
            <w:proofErr w:type="spellEnd"/>
            <w:r w:rsidRPr="004109AA">
              <w:br/>
              <w:t>PCI 32 – 1 szt.</w:t>
            </w:r>
          </w:p>
          <w:p w14:paraId="00FBBB81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>M.2 - 2 szt. (1 gniazdo M.2 sieci WLAN - o ile nie jest zintegrowana z innymi komponentami</w:t>
            </w:r>
          </w:p>
          <w:p w14:paraId="5454EAFA" w14:textId="77777777" w:rsidR="006F79EE" w:rsidRPr="004109AA" w:rsidRDefault="006F79EE" w:rsidP="00673C00">
            <w:pPr>
              <w:pStyle w:val="Inne0"/>
            </w:pPr>
            <w:r w:rsidRPr="004109AA">
              <w:t>komputera , 1 gniazdo M.2 pamięci masowej)</w:t>
            </w:r>
          </w:p>
          <w:p w14:paraId="58C74B9E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>DIMM - 2 szt. - obsługa 64 GB pamięci 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DE5E1" w14:textId="31D78BD0" w:rsidR="006F79EE" w:rsidRPr="004109AA" w:rsidRDefault="006F79EE" w:rsidP="00673C00">
            <w:pPr>
              <w:pStyle w:val="Inne0"/>
              <w:tabs>
                <w:tab w:val="left" w:pos="1205"/>
                <w:tab w:val="left" w:pos="1555"/>
                <w:tab w:val="left" w:pos="2568"/>
                <w:tab w:val="left" w:pos="3773"/>
                <w:tab w:val="left" w:pos="4013"/>
                <w:tab w:val="left" w:pos="5083"/>
                <w:tab w:val="left" w:pos="5880"/>
                <w:tab w:val="left" w:pos="6950"/>
              </w:tabs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6709BDB6" w14:textId="13B8C8CD" w:rsidTr="00043DF6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F230F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0B71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Pamięć</w:t>
            </w:r>
            <w:r w:rsidRPr="004109AA">
              <w:rPr>
                <w:b/>
                <w:bCs/>
              </w:rPr>
              <w:br/>
              <w:t>operacyjna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DA402" w14:textId="77777777" w:rsidR="006F79EE" w:rsidRPr="004109AA" w:rsidRDefault="006F79EE" w:rsidP="00673C00">
            <w:pPr>
              <w:pStyle w:val="Inne0"/>
            </w:pPr>
            <w:r w:rsidRPr="004109AA">
              <w:t>16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C0EB4" w14:textId="6735F2EB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725C2B71" w14:textId="0ACCEC01" w:rsidTr="00043DF6">
        <w:trPr>
          <w:trHeight w:hRule="exact" w:val="9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FD8EA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17522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Dysk SSD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612E" w14:textId="77777777" w:rsidR="006F79EE" w:rsidRDefault="006F79EE" w:rsidP="00673C00">
            <w:pPr>
              <w:pStyle w:val="Inne0"/>
            </w:pPr>
            <w:r w:rsidRPr="004109AA">
              <w:t xml:space="preserve">Pojemność 512 GB/M.2 2230 </w:t>
            </w:r>
            <w:proofErr w:type="spellStart"/>
            <w:r w:rsidRPr="004109AA">
              <w:t>PCIe</w:t>
            </w:r>
            <w:proofErr w:type="spellEnd"/>
            <w:r w:rsidRPr="004109AA">
              <w:t xml:space="preserve"> 3.0 x4 </w:t>
            </w:r>
            <w:proofErr w:type="spellStart"/>
            <w:r w:rsidRPr="004109AA">
              <w:t>NVMe</w:t>
            </w:r>
            <w:proofErr w:type="spellEnd"/>
            <w:r w:rsidRPr="004109AA">
              <w:t>. Partycja RECOVERY umożliwiającą awaryjne odtworzenie systemu operacyjnego, fabrycznie zainstalowanego na komputerze</w:t>
            </w:r>
          </w:p>
          <w:p w14:paraId="0F275107" w14:textId="04EB16CD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A951" w14:textId="3BD4D899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11E6D1ED" w14:textId="331A8927" w:rsidTr="00673C00">
        <w:trPr>
          <w:trHeight w:hRule="exact" w:val="7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B8D34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4E72B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Napęd</w:t>
            </w:r>
            <w:r w:rsidRPr="004109AA">
              <w:rPr>
                <w:b/>
                <w:bCs/>
              </w:rPr>
              <w:br/>
              <w:t>optyczny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FA60" w14:textId="77777777" w:rsidR="006F79EE" w:rsidRDefault="006F79EE" w:rsidP="00673C00">
            <w:pPr>
              <w:pStyle w:val="Inne0"/>
            </w:pPr>
            <w:r w:rsidRPr="004109AA">
              <w:t xml:space="preserve">Nagrywarka DVD+/-RW </w:t>
            </w:r>
            <w:proofErr w:type="spellStart"/>
            <w:r w:rsidRPr="004109AA">
              <w:t>DualLayer</w:t>
            </w:r>
            <w:proofErr w:type="spellEnd"/>
            <w:r w:rsidRPr="004109AA">
              <w:t xml:space="preserve"> - wersja </w:t>
            </w:r>
            <w:proofErr w:type="spellStart"/>
            <w:r w:rsidRPr="004109AA">
              <w:t>slim</w:t>
            </w:r>
            <w:proofErr w:type="spellEnd"/>
            <w:r w:rsidRPr="004109AA">
              <w:t>, wewnętrzny, kolor zgodny z jednostką</w:t>
            </w:r>
            <w:r w:rsidRPr="004109AA">
              <w:br/>
              <w:t>centralną</w:t>
            </w:r>
          </w:p>
          <w:p w14:paraId="003164E6" w14:textId="77777777" w:rsidR="006F79EE" w:rsidRDefault="006F79EE" w:rsidP="00673C00">
            <w:pPr>
              <w:pStyle w:val="Inne0"/>
            </w:pPr>
          </w:p>
          <w:p w14:paraId="34569148" w14:textId="77777777" w:rsidR="006F79EE" w:rsidRDefault="006F79EE" w:rsidP="00673C00">
            <w:pPr>
              <w:pStyle w:val="Inne0"/>
            </w:pPr>
          </w:p>
          <w:p w14:paraId="21A9EBBE" w14:textId="77777777" w:rsidR="006F79EE" w:rsidRDefault="006F79EE" w:rsidP="00673C00">
            <w:pPr>
              <w:pStyle w:val="Inne0"/>
            </w:pPr>
          </w:p>
          <w:p w14:paraId="27055050" w14:textId="78103ABA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C7968" w14:textId="6B25DC6E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5D3232F8" w14:textId="259A5543" w:rsidTr="00673C00">
        <w:trPr>
          <w:trHeight w:hRule="exact" w:val="129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021CD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D91DD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Karta</w:t>
            </w:r>
            <w:r w:rsidRPr="004109AA">
              <w:rPr>
                <w:b/>
                <w:bCs/>
              </w:rPr>
              <w:br/>
              <w:t>graficzna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DB6B" w14:textId="77777777" w:rsidR="006F79EE" w:rsidRDefault="006F79EE" w:rsidP="00673C00">
            <w:pPr>
              <w:pStyle w:val="Inne0"/>
            </w:pPr>
            <w:r w:rsidRPr="004109AA">
              <w:t>Zintegrowana karta graficzna wykorzystująca pamięć RAM systemu, dynamicznie</w:t>
            </w:r>
            <w:r w:rsidRPr="004109AA">
              <w:br/>
              <w:t>przydzielaną na potrzeby grafiki - umożliwiająca wyświetlanie obrazu w rozdzielczości:</w:t>
            </w:r>
            <w:r w:rsidRPr="004109AA">
              <w:br/>
              <w:t>1920x1080</w:t>
            </w:r>
          </w:p>
          <w:p w14:paraId="5B4F01BC" w14:textId="77777777" w:rsidR="006F79EE" w:rsidRDefault="006F79EE" w:rsidP="00673C00">
            <w:pPr>
              <w:pStyle w:val="Inne0"/>
            </w:pPr>
          </w:p>
          <w:p w14:paraId="1D017D57" w14:textId="3ABF633E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5B3F2" w14:textId="2B115423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1CC88C50" w14:textId="37952521" w:rsidTr="00043DF6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A2F0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C198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Audio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B9898" w14:textId="77777777" w:rsidR="006F79EE" w:rsidRDefault="006F79EE" w:rsidP="00673C00">
            <w:pPr>
              <w:pStyle w:val="Inne0"/>
            </w:pPr>
            <w:r w:rsidRPr="004109AA">
              <w:t>Zintegrowana z płytą główną karta dźwiękowa zgodna z High Definition Audio</w:t>
            </w:r>
          </w:p>
          <w:p w14:paraId="3F1E14AE" w14:textId="77777777" w:rsidR="006F79EE" w:rsidRDefault="006F79EE" w:rsidP="00673C00">
            <w:pPr>
              <w:pStyle w:val="Inne0"/>
            </w:pPr>
          </w:p>
          <w:p w14:paraId="6C7D44E2" w14:textId="6299BE15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E3123" w14:textId="4A73EF00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04BA2511" w14:textId="6E6FF6DC" w:rsidTr="00043DF6">
        <w:trPr>
          <w:trHeight w:hRule="exact" w:val="84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B966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CABC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Łączność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E349" w14:textId="77777777" w:rsidR="006F79EE" w:rsidRDefault="006F79EE" w:rsidP="00673C00">
            <w:pPr>
              <w:pStyle w:val="Inne0"/>
              <w:spacing w:after="200"/>
            </w:pPr>
            <w:r w:rsidRPr="004109AA">
              <w:t xml:space="preserve">Karta sieciowa - 1 x port Ethernet 10/100/1000 </w:t>
            </w:r>
            <w:proofErr w:type="spellStart"/>
            <w:r w:rsidRPr="004109AA">
              <w:t>Mb</w:t>
            </w:r>
            <w:proofErr w:type="spellEnd"/>
            <w:r w:rsidRPr="004109AA">
              <w:t>/s - złącze RJ45</w:t>
            </w:r>
            <w:r w:rsidRPr="004109AA">
              <w:br/>
              <w:t>Karta sieciowa Wi-Fi 802.11a/b/g/n/</w:t>
            </w:r>
            <w:proofErr w:type="spellStart"/>
            <w:r w:rsidRPr="004109AA">
              <w:t>ac</w:t>
            </w:r>
            <w:proofErr w:type="spellEnd"/>
            <w:r w:rsidRPr="004109AA">
              <w:t xml:space="preserve"> + Bluetooth 4.2 - interfejs M.2 lub zintegrowana z innymi komponentami komputera</w:t>
            </w:r>
          </w:p>
          <w:p w14:paraId="3D1C60CB" w14:textId="4574B01B" w:rsidR="006F79EE" w:rsidRPr="004109AA" w:rsidRDefault="006F79EE" w:rsidP="00673C00">
            <w:pPr>
              <w:pStyle w:val="Inne0"/>
              <w:spacing w:after="200"/>
            </w:pPr>
            <w:r w:rsidRPr="004109AA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C88" w14:textId="6896EFB4" w:rsidR="006F79EE" w:rsidRPr="004109AA" w:rsidRDefault="006F79EE" w:rsidP="00673C00">
            <w:pPr>
              <w:pStyle w:val="Inne0"/>
              <w:spacing w:after="20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06C65D1D" w14:textId="34AAEBED" w:rsidTr="00043DF6">
        <w:trPr>
          <w:trHeight w:hRule="exact" w:val="132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C9E11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8E869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Porty/złącza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F643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>Wymagana ilość i rozmieszczenie portów (na zewnątrz obudowy komputera), nie może być</w:t>
            </w:r>
            <w:r w:rsidRPr="004109AA">
              <w:br/>
              <w:t>osiągnięte w wyniku stosowania konwerterów, przejściówek</w:t>
            </w:r>
          </w:p>
          <w:p w14:paraId="40CC3464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>Porty przód:</w:t>
            </w:r>
          </w:p>
          <w:p w14:paraId="7502C82D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 xml:space="preserve">Gniazdo słuchawki/mikrofon lub </w:t>
            </w:r>
            <w:proofErr w:type="spellStart"/>
            <w:r w:rsidRPr="004109AA">
              <w:t>combo</w:t>
            </w:r>
            <w:proofErr w:type="spellEnd"/>
            <w:r w:rsidRPr="004109AA">
              <w:t xml:space="preserve"> - 1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9DE" w14:textId="7E7B5F23" w:rsidR="006F79EE" w:rsidRPr="004109AA" w:rsidRDefault="006F79EE" w:rsidP="00673C00">
            <w:pPr>
              <w:pStyle w:val="Inne0"/>
              <w:spacing w:after="200"/>
            </w:pPr>
            <w:r w:rsidRPr="00EE5626">
              <w:rPr>
                <w:b/>
              </w:rPr>
              <w:t>spełnia/nie spełnia</w:t>
            </w:r>
          </w:p>
        </w:tc>
      </w:tr>
    </w:tbl>
    <w:p w14:paraId="02EED145" w14:textId="77777777" w:rsidR="00072C59" w:rsidRPr="004109AA" w:rsidRDefault="00072C59" w:rsidP="00673C00">
      <w:pPr>
        <w:spacing w:line="1" w:lineRule="exact"/>
        <w:rPr>
          <w:rFonts w:ascii="Tahoma" w:hAnsi="Tahoma" w:cs="Tahoma"/>
          <w:sz w:val="18"/>
          <w:szCs w:val="18"/>
        </w:rPr>
      </w:pPr>
      <w:r w:rsidRPr="004109AA">
        <w:rPr>
          <w:rFonts w:ascii="Tahoma" w:hAnsi="Tahoma" w:cs="Tahoma"/>
          <w:sz w:val="18"/>
          <w:szCs w:val="18"/>
        </w:rPr>
        <w:br w:type="page"/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1277"/>
        <w:gridCol w:w="1618"/>
        <w:gridCol w:w="4856"/>
        <w:gridCol w:w="1701"/>
      </w:tblGrid>
      <w:tr w:rsidR="006F79EE" w:rsidRPr="006F79EE" w14:paraId="1E6747E5" w14:textId="16880347" w:rsidTr="00043DF6">
        <w:trPr>
          <w:trHeight w:hRule="exact" w:val="270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EEC3B" w14:textId="77777777" w:rsidR="006F79EE" w:rsidRPr="004109AA" w:rsidRDefault="006F79EE" w:rsidP="00673C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954B2" w14:textId="77777777" w:rsidR="006F79EE" w:rsidRPr="004109AA" w:rsidRDefault="006F79EE" w:rsidP="00673C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2987" w14:textId="77777777" w:rsidR="006F79EE" w:rsidRPr="004109AA" w:rsidRDefault="006F79EE" w:rsidP="00673C00">
            <w:pPr>
              <w:pStyle w:val="Inne0"/>
              <w:spacing w:after="200"/>
            </w:pPr>
            <w:r w:rsidRPr="004109AA">
              <w:t>Czytnik kart SD - 1 szt.</w:t>
            </w:r>
            <w:r w:rsidRPr="004109AA">
              <w:br/>
              <w:t>Port USB 2.0 - 2 szt.</w:t>
            </w:r>
            <w:r w:rsidRPr="004109AA">
              <w:br/>
              <w:t>Port USB 3.2 Gen 1 – 2 szt.</w:t>
            </w:r>
          </w:p>
          <w:p w14:paraId="71E8823F" w14:textId="77777777" w:rsidR="006F79EE" w:rsidRDefault="006F79EE" w:rsidP="00673C00">
            <w:pPr>
              <w:pStyle w:val="Inne0"/>
              <w:spacing w:after="200"/>
              <w:rPr>
                <w:lang w:val="en-US"/>
              </w:rPr>
            </w:pPr>
            <w:r w:rsidRPr="004109AA">
              <w:t>Pozostałe porty:</w:t>
            </w:r>
            <w:r w:rsidRPr="004109AA">
              <w:br/>
              <w:t>HDMI 1.4b - 1 szt.</w:t>
            </w:r>
            <w:r w:rsidRPr="004109AA">
              <w:br/>
              <w:t>VGA - 1 szt.</w:t>
            </w:r>
            <w:r w:rsidRPr="004109AA">
              <w:br/>
              <w:t>USB 3.2 Gen 1 - 2 szt.</w:t>
            </w:r>
            <w:r w:rsidRPr="004109AA">
              <w:br/>
            </w:r>
            <w:r w:rsidRPr="004A5F0B">
              <w:rPr>
                <w:lang w:val="en-US"/>
              </w:rPr>
              <w:t xml:space="preserve">USB 2.0 - 2 </w:t>
            </w:r>
            <w:proofErr w:type="spellStart"/>
            <w:r w:rsidRPr="004A5F0B">
              <w:rPr>
                <w:lang w:val="en-US"/>
              </w:rPr>
              <w:t>szt</w:t>
            </w:r>
            <w:proofErr w:type="spellEnd"/>
            <w:r w:rsidRPr="004A5F0B">
              <w:rPr>
                <w:lang w:val="en-US"/>
              </w:rPr>
              <w:t>.</w:t>
            </w:r>
            <w:r w:rsidRPr="004A5F0B">
              <w:rPr>
                <w:lang w:val="en-US"/>
              </w:rPr>
              <w:br/>
              <w:t xml:space="preserve">RJ-45 - 1 </w:t>
            </w:r>
            <w:proofErr w:type="spellStart"/>
            <w:r w:rsidRPr="004A5F0B">
              <w:rPr>
                <w:lang w:val="en-US"/>
              </w:rPr>
              <w:t>szt</w:t>
            </w:r>
            <w:proofErr w:type="spellEnd"/>
            <w:r w:rsidRPr="004A5F0B">
              <w:rPr>
                <w:lang w:val="en-US"/>
              </w:rPr>
              <w:t>.</w:t>
            </w:r>
            <w:r w:rsidRPr="004A5F0B">
              <w:rPr>
                <w:lang w:val="en-US"/>
              </w:rPr>
              <w:br/>
            </w:r>
            <w:proofErr w:type="spellStart"/>
            <w:r w:rsidRPr="004A5F0B">
              <w:rPr>
                <w:lang w:val="en-US"/>
              </w:rPr>
              <w:t>Audo</w:t>
            </w:r>
            <w:proofErr w:type="spellEnd"/>
            <w:r w:rsidRPr="004A5F0B">
              <w:rPr>
                <w:lang w:val="en-US"/>
              </w:rPr>
              <w:t xml:space="preserve"> Line-out/Line-in – 1 </w:t>
            </w:r>
            <w:proofErr w:type="spellStart"/>
            <w:r w:rsidRPr="004A5F0B">
              <w:rPr>
                <w:lang w:val="en-US"/>
              </w:rPr>
              <w:t>szt</w:t>
            </w:r>
            <w:proofErr w:type="spellEnd"/>
            <w:r w:rsidRPr="004A5F0B">
              <w:rPr>
                <w:lang w:val="en-US"/>
              </w:rPr>
              <w:t>.</w:t>
            </w:r>
          </w:p>
          <w:p w14:paraId="3EECD2FF" w14:textId="20121CD3" w:rsidR="006F79EE" w:rsidRPr="004A5F0B" w:rsidRDefault="006F79EE" w:rsidP="00673C00">
            <w:pPr>
              <w:pStyle w:val="Inne0"/>
              <w:spacing w:after="20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8857" w14:textId="2FAC22E8" w:rsidR="006F79EE" w:rsidRPr="006F79EE" w:rsidRDefault="006F79EE" w:rsidP="00673C00">
            <w:pPr>
              <w:pStyle w:val="Inne0"/>
              <w:spacing w:after="200"/>
              <w:rPr>
                <w:lang w:val="en-US"/>
              </w:rPr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1E02280F" w14:textId="456571BC" w:rsidTr="00043DF6">
        <w:trPr>
          <w:trHeight w:hRule="exact" w:val="852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DEC10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613C8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Klawiatura</w:t>
            </w:r>
            <w:r w:rsidRPr="004109AA">
              <w:rPr>
                <w:b/>
                <w:bCs/>
              </w:rPr>
              <w:br/>
              <w:t>/mysz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9DC6" w14:textId="77777777" w:rsidR="006F79EE" w:rsidRPr="004109AA" w:rsidRDefault="006F79EE" w:rsidP="00673C00">
            <w:pPr>
              <w:pStyle w:val="Inne0"/>
            </w:pPr>
            <w:r w:rsidRPr="004109AA">
              <w:t>Klawiatura przewodowa USB w układzie QWERTY US, wyspowa</w:t>
            </w:r>
          </w:p>
          <w:p w14:paraId="188E7EA9" w14:textId="77777777" w:rsidR="006F79EE" w:rsidRPr="004109AA" w:rsidRDefault="006F79EE" w:rsidP="00673C00">
            <w:pPr>
              <w:pStyle w:val="Inne0"/>
            </w:pPr>
            <w:r w:rsidRPr="004109AA">
              <w:t xml:space="preserve">Mysz optyczna USB ze </w:t>
            </w:r>
            <w:proofErr w:type="spellStart"/>
            <w:r w:rsidRPr="004109AA">
              <w:t>scrollerem</w:t>
            </w:r>
            <w:proofErr w:type="spellEnd"/>
          </w:p>
          <w:p w14:paraId="5B3DB1D8" w14:textId="77777777" w:rsidR="006F79EE" w:rsidRDefault="006F79EE" w:rsidP="00673C00">
            <w:pPr>
              <w:pStyle w:val="Inne0"/>
            </w:pPr>
            <w:r w:rsidRPr="004109AA">
              <w:t>Kolor urządzeń zgodny z kolorem jednostki centralnej</w:t>
            </w:r>
          </w:p>
          <w:p w14:paraId="2D9DE90B" w14:textId="7FD9A28B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90426" w14:textId="07BF384D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2FA0C7C9" w14:textId="3DB11141" w:rsidTr="00043DF6">
        <w:trPr>
          <w:trHeight w:hRule="exact" w:val="4819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791DA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34033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System</w:t>
            </w:r>
            <w:r w:rsidRPr="004109AA">
              <w:rPr>
                <w:b/>
                <w:bCs/>
              </w:rPr>
              <w:br/>
              <w:t>operacyjny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29C81" w14:textId="77777777" w:rsidR="006F79EE" w:rsidRPr="004109AA" w:rsidRDefault="006F79EE" w:rsidP="00673C00">
            <w:pPr>
              <w:pStyle w:val="Inne0"/>
              <w:tabs>
                <w:tab w:val="left" w:pos="1402"/>
                <w:tab w:val="left" w:pos="2438"/>
                <w:tab w:val="left" w:pos="2856"/>
                <w:tab w:val="left" w:pos="3547"/>
                <w:tab w:val="left" w:pos="4142"/>
                <w:tab w:val="left" w:pos="4728"/>
                <w:tab w:val="left" w:pos="6029"/>
              </w:tabs>
            </w:pPr>
            <w:r w:rsidRPr="004109AA">
              <w:t>Preinstalowany fabrycznie 64-bitowy system operacyjny w wersji PL (dozwolona wersja edukacyjna), umożliwiający wykonanie kopii zapasowych i przywracanie systemu z możliwością automatycznego przywrócenia wersji wcześniejszej. Możliwość zdalnej automatycznej instalacji, konfiguracji, administrowania oraz aktualizowania systemu; możliwość podłączenia do domeny Active Directory Windows Server.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2016/2019.</w:t>
            </w:r>
          </w:p>
          <w:p w14:paraId="2FAAA847" w14:textId="77777777" w:rsidR="006F79EE" w:rsidRPr="004109AA" w:rsidRDefault="006F79EE" w:rsidP="00673C00">
            <w:pPr>
              <w:pStyle w:val="Inne0"/>
              <w:tabs>
                <w:tab w:val="left" w:pos="1402"/>
                <w:tab w:val="left" w:pos="2438"/>
                <w:tab w:val="left" w:pos="2856"/>
                <w:tab w:val="left" w:pos="3547"/>
                <w:tab w:val="left" w:pos="4142"/>
                <w:tab w:val="left" w:pos="4728"/>
                <w:tab w:val="left" w:pos="6029"/>
              </w:tabs>
            </w:pPr>
            <w:r w:rsidRPr="004109AA">
              <w:t>Data wydania dystrybucji systemu nie może być starsza niż 2020 rok.</w:t>
            </w:r>
          </w:p>
          <w:p w14:paraId="715A1DB1" w14:textId="77777777" w:rsidR="006F79EE" w:rsidRDefault="006F79EE" w:rsidP="00673C00">
            <w:pPr>
              <w:pStyle w:val="Inne0"/>
            </w:pPr>
            <w:r w:rsidRPr="004109AA">
              <w:t>Licencja i oprogramowanie muszą być fabrycznie nowe, nieużywane i nigdy wcześniej nie aktywowane."</w:t>
            </w:r>
          </w:p>
          <w:p w14:paraId="41067419" w14:textId="68DC9557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FB039" w14:textId="13F25DB0" w:rsidR="006F79EE" w:rsidRPr="004109AA" w:rsidRDefault="006F79EE" w:rsidP="00673C00">
            <w:pPr>
              <w:pStyle w:val="Inne0"/>
              <w:tabs>
                <w:tab w:val="left" w:pos="1402"/>
                <w:tab w:val="left" w:pos="2438"/>
                <w:tab w:val="left" w:pos="2856"/>
                <w:tab w:val="left" w:pos="3547"/>
                <w:tab w:val="left" w:pos="4142"/>
                <w:tab w:val="left" w:pos="4728"/>
                <w:tab w:val="left" w:pos="6029"/>
              </w:tabs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232B7BF3" w14:textId="22484ABC" w:rsidTr="00043DF6">
        <w:trPr>
          <w:trHeight w:hRule="exact" w:val="438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D48A7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91851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Licencje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999D" w14:textId="77777777" w:rsidR="006F79EE" w:rsidRDefault="006F79EE" w:rsidP="00673C00">
            <w:pPr>
              <w:pStyle w:val="Inne0"/>
            </w:pPr>
            <w:r w:rsidRPr="004109AA">
              <w:t>Zamawiający wymaga fabrycznie nowego systemu operacyjnego, wcześniej nieużywanego</w:t>
            </w:r>
            <w:r w:rsidRPr="004109AA">
              <w:br/>
              <w:t>oraz nieaktywowanego na innym urządzeniu. Musi on być dostarczony wraz ze stosownymi,</w:t>
            </w:r>
            <w:r w:rsidRPr="004109AA">
              <w:br/>
              <w:t>oryginalnymi atrybutami legalności: na przykład z tzw. naklejkami GML (</w:t>
            </w:r>
            <w:proofErr w:type="spellStart"/>
            <w:r w:rsidRPr="004109AA">
              <w:t>Genuine</w:t>
            </w:r>
            <w:proofErr w:type="spellEnd"/>
            <w:r w:rsidRPr="004109AA">
              <w:t xml:space="preserve"> Microsoft</w:t>
            </w:r>
            <w:r w:rsidRPr="004109AA">
              <w:br/>
            </w:r>
            <w:proofErr w:type="spellStart"/>
            <w:r w:rsidRPr="004109AA">
              <w:t>Label</w:t>
            </w:r>
            <w:proofErr w:type="spellEnd"/>
            <w:r w:rsidRPr="004109AA">
              <w:t>) lub naklejkami COA (</w:t>
            </w:r>
            <w:proofErr w:type="spellStart"/>
            <w:r w:rsidRPr="004109AA">
              <w:t>Certificate</w:t>
            </w:r>
            <w:proofErr w:type="spellEnd"/>
            <w:r w:rsidRPr="004109AA">
              <w:t xml:space="preserve"> of </w:t>
            </w:r>
            <w:proofErr w:type="spellStart"/>
            <w:r w:rsidRPr="004109AA">
              <w:t>Authenticity</w:t>
            </w:r>
            <w:proofErr w:type="spellEnd"/>
            <w:r w:rsidRPr="004109AA">
              <w:t>) stosowanymi przez producenta</w:t>
            </w:r>
            <w:r w:rsidRPr="004109AA">
              <w:br/>
              <w:t>sprzętu lub inną formą uwiarygodniania oryginalności wymaganą przez producenta</w:t>
            </w:r>
            <w:r w:rsidRPr="004109AA">
              <w:br/>
              <w:t>oprogramowania stosowną w zależności od dostarczanej wersji (np. zgodnie z dystrybucją</w:t>
            </w:r>
            <w:r w:rsidRPr="004109AA">
              <w:br/>
              <w:t xml:space="preserve">oprogramowania preinstalowanego - klucz zaszyty w BIOS </w:t>
            </w:r>
            <w:proofErr w:type="spellStart"/>
            <w:r w:rsidRPr="004109AA">
              <w:t>jw</w:t>
            </w:r>
            <w:proofErr w:type="spellEnd"/>
            <w:r w:rsidRPr="004109AA">
              <w:t xml:space="preserve"> przypadku nowych,</w:t>
            </w:r>
            <w:r w:rsidRPr="004109AA">
              <w:br/>
              <w:t>fabrycznych komputerów). Zamawiający, o ile zajdzie taka potrzeba, będzie komunikował</w:t>
            </w:r>
            <w:r w:rsidRPr="004109AA">
              <w:br/>
              <w:t>się z producentem sprzętu lub oprogramowania i na bieżąco będzie weryfikował legalność</w:t>
            </w:r>
            <w:r w:rsidRPr="004109AA">
              <w:br/>
              <w:t>ich pochodzenia i stosowania.</w:t>
            </w:r>
          </w:p>
          <w:p w14:paraId="7CA6B99B" w14:textId="29320F81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C179" w14:textId="1C0AF614" w:rsidR="006F79EE" w:rsidRPr="004109AA" w:rsidRDefault="006F79EE" w:rsidP="00673C00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50953896" w14:textId="09761B1F" w:rsidTr="00043DF6">
        <w:trPr>
          <w:trHeight w:hRule="exact" w:val="213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EF0DE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lastRenderedPageBreak/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02CB6" w14:textId="77777777" w:rsidR="006F79EE" w:rsidRPr="004109AA" w:rsidRDefault="006F79EE" w:rsidP="00673C00">
            <w:pPr>
              <w:pStyle w:val="Inne0"/>
            </w:pPr>
            <w:r w:rsidRPr="004109AA">
              <w:rPr>
                <w:b/>
                <w:bCs/>
              </w:rPr>
              <w:t>Wsparcie</w:t>
            </w:r>
            <w:r w:rsidRPr="004109AA">
              <w:rPr>
                <w:b/>
                <w:bCs/>
              </w:rPr>
              <w:br/>
              <w:t>techniczne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051B" w14:textId="1FA2006A" w:rsidR="006F79EE" w:rsidRPr="004109AA" w:rsidRDefault="006F79EE" w:rsidP="00673C00">
            <w:pPr>
              <w:pStyle w:val="Inne0"/>
              <w:tabs>
                <w:tab w:val="left" w:pos="2765"/>
              </w:tabs>
            </w:pPr>
            <w:r w:rsidRPr="004109AA">
              <w:t>Możliwość sprawdzenia konfiguracji sprzętowej oraz warunków gwarancji po podaniu</w:t>
            </w:r>
            <w:r w:rsidRPr="004109AA">
              <w:br/>
              <w:t>numeru seryjnego komputera - bezpośrednio na stronie internetowej producenta lub</w:t>
            </w:r>
          </w:p>
          <w:p w14:paraId="01DDBB04" w14:textId="77777777" w:rsidR="006F79EE" w:rsidRDefault="006F79EE" w:rsidP="00673C00">
            <w:pPr>
              <w:pStyle w:val="Inne0"/>
            </w:pPr>
            <w:r w:rsidRPr="004109AA">
              <w:t>spr</w:t>
            </w:r>
            <w:bookmarkStart w:id="0" w:name="_GoBack"/>
            <w:bookmarkEnd w:id="0"/>
            <w:r w:rsidRPr="004109AA">
              <w:t>zedawcy. Możliwość pobrania ze strony internetowej producenta lub sprzedawcy,</w:t>
            </w:r>
            <w:r w:rsidRPr="004109AA">
              <w:br/>
              <w:t>sterowników wszystkich komponentów po podaniu numeru seryjnego komputera.</w:t>
            </w:r>
          </w:p>
          <w:p w14:paraId="59709F1E" w14:textId="39D6D608" w:rsidR="006F79EE" w:rsidRPr="004109AA" w:rsidRDefault="006F79EE" w:rsidP="00673C00">
            <w:pPr>
              <w:pStyle w:val="Inne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B37C6" w14:textId="6772C634" w:rsidR="006F79EE" w:rsidRPr="004109AA" w:rsidRDefault="006F79EE" w:rsidP="00673C00">
            <w:pPr>
              <w:pStyle w:val="Inne0"/>
              <w:tabs>
                <w:tab w:val="left" w:pos="2765"/>
              </w:tabs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6B4A1D2C" w14:textId="4A9773A8" w:rsidTr="00043DF6">
        <w:trPr>
          <w:trHeight w:hRule="exact" w:val="226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A18C" w14:textId="77777777" w:rsidR="006F79EE" w:rsidRPr="004109AA" w:rsidRDefault="006F79EE" w:rsidP="00791EB7">
            <w:pPr>
              <w:pStyle w:val="Inne0"/>
              <w:jc w:val="center"/>
            </w:pPr>
            <w:r w:rsidRPr="004109AA">
              <w:rPr>
                <w:b/>
                <w:bCs/>
              </w:rPr>
              <w:t>SPECYFIKACJA MONITORA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CCDDF" w14:textId="77777777" w:rsidR="006F79EE" w:rsidRPr="004109AA" w:rsidRDefault="006F79EE" w:rsidP="00791EB7">
            <w:pPr>
              <w:pStyle w:val="Inne0"/>
              <w:jc w:val="center"/>
              <w:rPr>
                <w:b/>
                <w:bCs/>
              </w:rPr>
            </w:pPr>
          </w:p>
        </w:tc>
      </w:tr>
      <w:tr w:rsidR="006F79EE" w:rsidRPr="004109AA" w14:paraId="3E98B30F" w14:textId="4AB2B5AF" w:rsidTr="00043DF6">
        <w:trPr>
          <w:trHeight w:hRule="exact" w:val="23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E0C5C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CE422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Matryca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8EDD4" w14:textId="77777777" w:rsidR="006F79EE" w:rsidRPr="004109AA" w:rsidRDefault="006F79EE" w:rsidP="00791EB7">
            <w:pPr>
              <w:pStyle w:val="Inne0"/>
            </w:pPr>
            <w:r w:rsidRPr="004109AA">
              <w:t>Panoramiczna o przekątnej ekranu 23 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0D3F7" w14:textId="6476576D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75A5C4E0" w14:textId="660078F4" w:rsidTr="00043DF6">
        <w:trPr>
          <w:trHeight w:hRule="exact" w:val="22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A2683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41DD3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Rozdzielczość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DDE7" w14:textId="77777777" w:rsidR="006F79EE" w:rsidRPr="004109AA" w:rsidRDefault="006F79EE" w:rsidP="00791EB7">
            <w:pPr>
              <w:pStyle w:val="Inne0"/>
            </w:pPr>
            <w:r w:rsidRPr="004109AA">
              <w:t xml:space="preserve">Full HD (1920 x1080 </w:t>
            </w:r>
            <w:proofErr w:type="spellStart"/>
            <w:r w:rsidRPr="004109AA">
              <w:t>pxs</w:t>
            </w:r>
            <w:proofErr w:type="spellEnd"/>
            <w:r w:rsidRPr="004109AA">
              <w:t>) w proporcji 16:9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D1AC2" w14:textId="1B3C0038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614C4A23" w14:textId="4C685074" w:rsidTr="00043DF6">
        <w:trPr>
          <w:trHeight w:hRule="exact" w:val="22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EBD08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3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26DF41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 xml:space="preserve">Typ </w:t>
            </w:r>
            <w:proofErr w:type="spellStart"/>
            <w:r w:rsidRPr="004109AA">
              <w:rPr>
                <w:b/>
                <w:bCs/>
              </w:rPr>
              <w:t>panela</w:t>
            </w:r>
            <w:proofErr w:type="spell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AA7D" w14:textId="77777777" w:rsidR="006F79EE" w:rsidRPr="004109AA" w:rsidRDefault="006F79EE" w:rsidP="00791EB7">
            <w:pPr>
              <w:pStyle w:val="Inne0"/>
            </w:pPr>
            <w:r w:rsidRPr="004109AA">
              <w:t>Matowy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5306" w14:textId="06C47829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46CF1060" w14:textId="23F4E1B3" w:rsidTr="00043DF6">
        <w:trPr>
          <w:trHeight w:hRule="exact" w:val="23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C4FA8E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CCEB43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Technologia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1C5F" w14:textId="77777777" w:rsidR="006F79EE" w:rsidRPr="004109AA" w:rsidRDefault="006F79EE" w:rsidP="00791EB7">
            <w:pPr>
              <w:pStyle w:val="Inne0"/>
            </w:pPr>
            <w:r w:rsidRPr="004109AA">
              <w:t>LED 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65AD" w14:textId="2191CFA2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766A8D0D" w14:textId="3FE04290" w:rsidTr="00043DF6">
        <w:trPr>
          <w:trHeight w:hRule="exact" w:val="22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3FEA1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5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C3277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Wejścia graficzne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E01C" w14:textId="77777777" w:rsidR="006F79EE" w:rsidRPr="004109AA" w:rsidRDefault="006F79EE" w:rsidP="00791EB7">
            <w:pPr>
              <w:pStyle w:val="Inne0"/>
            </w:pPr>
            <w:r w:rsidRPr="004109AA">
              <w:t>1 x HDMI, 1 x VGA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6684E" w14:textId="0552F5F3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41E7FDB6" w14:textId="08BC3196" w:rsidTr="00043DF6">
        <w:trPr>
          <w:trHeight w:hRule="exact" w:val="22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227BA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AFC15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Jasność [cd/m2]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B907" w14:textId="77777777" w:rsidR="006F79EE" w:rsidRPr="004109AA" w:rsidRDefault="006F79EE" w:rsidP="00791EB7">
            <w:pPr>
              <w:pStyle w:val="Inne0"/>
            </w:pPr>
            <w:r w:rsidRPr="004109AA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6F247" w14:textId="39DF665E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5E4CD174" w14:textId="09495CC5" w:rsidTr="00043DF6">
        <w:trPr>
          <w:trHeight w:hRule="exact" w:val="230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D037C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7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B9A1E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Czas reakcji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444C" w14:textId="77777777" w:rsidR="006F79EE" w:rsidRPr="004109AA" w:rsidRDefault="006F79EE" w:rsidP="00791EB7">
            <w:pPr>
              <w:pStyle w:val="Inne0"/>
            </w:pPr>
            <w:r w:rsidRPr="004109AA">
              <w:t>Max 5 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8B646" w14:textId="78DCD25F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33E37806" w14:textId="57F58AEC" w:rsidTr="00043DF6">
        <w:trPr>
          <w:trHeight w:hRule="exact" w:val="22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C31AC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8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A67DB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Kontrast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F0444" w14:textId="77777777" w:rsidR="006F79EE" w:rsidRPr="004109AA" w:rsidRDefault="006F79EE" w:rsidP="00791EB7">
            <w:pPr>
              <w:pStyle w:val="Inne0"/>
            </w:pPr>
            <w:r w:rsidRPr="004109AA">
              <w:t>1000:1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F645E" w14:textId="7207EA85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  <w:tr w:rsidR="006F79EE" w:rsidRPr="004109AA" w14:paraId="2A9F72D4" w14:textId="721A1B73" w:rsidTr="00043DF6">
        <w:trPr>
          <w:trHeight w:hRule="exact" w:val="456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0576C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9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A68A86" w14:textId="77777777" w:rsidR="006F79EE" w:rsidRPr="004109AA" w:rsidRDefault="006F79EE" w:rsidP="00791EB7">
            <w:pPr>
              <w:pStyle w:val="Inne0"/>
              <w:tabs>
                <w:tab w:val="left" w:pos="1848"/>
              </w:tabs>
              <w:jc w:val="both"/>
            </w:pPr>
            <w:r w:rsidRPr="004109AA">
              <w:rPr>
                <w:b/>
                <w:bCs/>
              </w:rPr>
              <w:t>Kąt widzenia</w:t>
            </w:r>
          </w:p>
          <w:p w14:paraId="461D0AAD" w14:textId="77777777" w:rsidR="006F79EE" w:rsidRPr="004109AA" w:rsidRDefault="006F79EE" w:rsidP="00791EB7">
            <w:pPr>
              <w:pStyle w:val="Inne0"/>
            </w:pPr>
            <w:r w:rsidRPr="004109AA">
              <w:rPr>
                <w:b/>
                <w:bCs/>
              </w:rPr>
              <w:t>poziomy/pionowy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5A13" w14:textId="77777777" w:rsidR="006F79EE" w:rsidRPr="004109AA" w:rsidRDefault="006F79EE" w:rsidP="00791EB7">
            <w:pPr>
              <w:pStyle w:val="Inne0"/>
            </w:pPr>
            <w:r w:rsidRPr="004109AA">
              <w:t>178 stopni/178 stopni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88C" w14:textId="3E2F3E6E" w:rsidR="006F79EE" w:rsidRPr="004109AA" w:rsidRDefault="006F79EE" w:rsidP="00791EB7">
            <w:pPr>
              <w:pStyle w:val="Inne0"/>
            </w:pPr>
            <w:r w:rsidRPr="00EE5626">
              <w:rPr>
                <w:b/>
              </w:rPr>
              <w:t>spełnia/nie spełnia</w:t>
            </w:r>
          </w:p>
        </w:tc>
      </w:tr>
    </w:tbl>
    <w:p w14:paraId="42050662" w14:textId="77777777" w:rsidR="00072C59" w:rsidRPr="004109AA" w:rsidRDefault="00072C59" w:rsidP="00072C59">
      <w:pPr>
        <w:spacing w:line="1" w:lineRule="exact"/>
        <w:rPr>
          <w:rFonts w:ascii="Tahoma" w:hAnsi="Tahoma" w:cs="Tahoma"/>
          <w:sz w:val="18"/>
          <w:szCs w:val="18"/>
        </w:rPr>
      </w:pPr>
      <w:r w:rsidRPr="004109AA">
        <w:rPr>
          <w:rFonts w:ascii="Tahoma" w:hAnsi="Tahoma" w:cs="Tahoma"/>
          <w:sz w:val="18"/>
          <w:szCs w:val="1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2890"/>
        <w:gridCol w:w="5760"/>
      </w:tblGrid>
      <w:tr w:rsidR="00072C59" w:rsidRPr="004109AA" w14:paraId="259031E9" w14:textId="77777777" w:rsidTr="00791EB7">
        <w:trPr>
          <w:trHeight w:hRule="exact" w:val="71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2AF7F" w14:textId="77777777" w:rsidR="00072C59" w:rsidRPr="004109AA" w:rsidRDefault="00072C59" w:rsidP="00791EB7">
            <w:pPr>
              <w:pStyle w:val="Inne0"/>
            </w:pPr>
            <w:r w:rsidRPr="004109AA">
              <w:rPr>
                <w:b/>
                <w:bCs/>
              </w:rPr>
              <w:lastRenderedPageBreak/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3896F" w14:textId="77777777" w:rsidR="00072C59" w:rsidRPr="004109AA" w:rsidRDefault="00072C59" w:rsidP="00791EB7">
            <w:pPr>
              <w:pStyle w:val="Inne0"/>
              <w:tabs>
                <w:tab w:val="left" w:pos="1262"/>
                <w:tab w:val="left" w:pos="2606"/>
              </w:tabs>
            </w:pPr>
            <w:r w:rsidRPr="004109AA">
              <w:rPr>
                <w:b/>
                <w:bCs/>
              </w:rPr>
              <w:t>Parametry konstrukcji i</w:t>
            </w:r>
          </w:p>
          <w:p w14:paraId="32DC2930" w14:textId="171DAF05" w:rsidR="00072C59" w:rsidRPr="004109AA" w:rsidRDefault="004A5F0B" w:rsidP="00791EB7">
            <w:pPr>
              <w:pStyle w:val="Inne0"/>
            </w:pPr>
            <w:r w:rsidRPr="004109AA">
              <w:rPr>
                <w:b/>
                <w:bCs/>
              </w:rPr>
              <w:t>F</w:t>
            </w:r>
            <w:r w:rsidR="00072C59" w:rsidRPr="004109AA">
              <w:rPr>
                <w:b/>
                <w:bCs/>
              </w:rPr>
              <w:t>unkcje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E350" w14:textId="77777777" w:rsidR="00072C59" w:rsidRPr="004109AA" w:rsidRDefault="00072C59" w:rsidP="00791EB7">
            <w:pPr>
              <w:pStyle w:val="Inne0"/>
              <w:jc w:val="both"/>
            </w:pPr>
            <w:proofErr w:type="spellStart"/>
            <w:r w:rsidRPr="004109AA">
              <w:t>Kensington</w:t>
            </w:r>
            <w:proofErr w:type="spellEnd"/>
            <w:r w:rsidRPr="004109AA">
              <w:t xml:space="preserve"> Lock,</w:t>
            </w:r>
          </w:p>
          <w:p w14:paraId="79315BD6" w14:textId="77777777" w:rsidR="00072C59" w:rsidRPr="004109AA" w:rsidRDefault="00072C59" w:rsidP="00791EB7">
            <w:pPr>
              <w:pStyle w:val="Inne0"/>
              <w:jc w:val="both"/>
            </w:pPr>
            <w:r w:rsidRPr="004109AA">
              <w:t>Kolor zgodny z kolorem jednostki centralnej,</w:t>
            </w:r>
          </w:p>
          <w:p w14:paraId="759D1088" w14:textId="77777777" w:rsidR="00072C59" w:rsidRPr="004109AA" w:rsidRDefault="00072C59" w:rsidP="00791EB7">
            <w:pPr>
              <w:pStyle w:val="Inne0"/>
              <w:jc w:val="both"/>
            </w:pPr>
            <w:r w:rsidRPr="004109AA">
              <w:t>Możliwość montażu na ścianie (VESA)</w:t>
            </w:r>
          </w:p>
        </w:tc>
      </w:tr>
      <w:tr w:rsidR="00072C59" w:rsidRPr="004109AA" w14:paraId="0E5240BD" w14:textId="77777777" w:rsidTr="00791EB7">
        <w:trPr>
          <w:trHeight w:hRule="exact" w:val="2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77EE7" w14:textId="77777777" w:rsidR="00072C59" w:rsidRPr="004109AA" w:rsidRDefault="00072C59" w:rsidP="00791EB7">
            <w:pPr>
              <w:pStyle w:val="Inne0"/>
            </w:pPr>
            <w:r w:rsidRPr="004109AA">
              <w:rPr>
                <w:b/>
                <w:bCs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C33CB" w14:textId="77777777" w:rsidR="00072C59" w:rsidRPr="004109AA" w:rsidRDefault="00072C59" w:rsidP="00791EB7">
            <w:pPr>
              <w:pStyle w:val="Inne0"/>
            </w:pPr>
            <w:r w:rsidRPr="004109AA">
              <w:rPr>
                <w:b/>
                <w:bCs/>
              </w:rPr>
              <w:t>Okablowanie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BE59" w14:textId="77777777" w:rsidR="00072C59" w:rsidRPr="004109AA" w:rsidRDefault="00072C59" w:rsidP="00791EB7">
            <w:pPr>
              <w:pStyle w:val="Inne0"/>
              <w:jc w:val="both"/>
            </w:pPr>
            <w:r w:rsidRPr="004109AA">
              <w:t>Kabel zasilający, kabel HDMI</w:t>
            </w:r>
          </w:p>
        </w:tc>
      </w:tr>
    </w:tbl>
    <w:p w14:paraId="5D7B458C" w14:textId="77777777" w:rsidR="00072C59" w:rsidRPr="004109AA" w:rsidRDefault="00072C59" w:rsidP="004A5F0B">
      <w:pPr>
        <w:pBdr>
          <w:bottom w:val="single" w:sz="4" w:space="1" w:color="auto"/>
        </w:pBdr>
        <w:spacing w:after="259" w:line="1" w:lineRule="exact"/>
        <w:rPr>
          <w:rFonts w:ascii="Tahoma" w:hAnsi="Tahoma" w:cs="Tahoma"/>
          <w:sz w:val="18"/>
          <w:szCs w:val="18"/>
        </w:rPr>
      </w:pPr>
    </w:p>
    <w:p w14:paraId="08AA5119" w14:textId="77777777" w:rsidR="00072C59" w:rsidRPr="00EB284D" w:rsidRDefault="00072C59" w:rsidP="00EB284D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color w:val="FF0000"/>
          <w:sz w:val="18"/>
          <w:szCs w:val="18"/>
          <w:u w:val="single"/>
        </w:rPr>
      </w:pPr>
    </w:p>
    <w:sectPr w:rsidR="00072C59" w:rsidRPr="00EB284D" w:rsidSect="00E6486C">
      <w:head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20BC2" w14:textId="77777777" w:rsidR="00096DB8" w:rsidRDefault="00096DB8" w:rsidP="00286366">
      <w:r>
        <w:separator/>
      </w:r>
    </w:p>
  </w:endnote>
  <w:endnote w:type="continuationSeparator" w:id="0">
    <w:p w14:paraId="1459EB53" w14:textId="77777777" w:rsidR="00096DB8" w:rsidRDefault="00096DB8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6C8F" w14:textId="77777777" w:rsidR="00096DB8" w:rsidRDefault="00096DB8" w:rsidP="00286366">
      <w:r>
        <w:separator/>
      </w:r>
    </w:p>
  </w:footnote>
  <w:footnote w:type="continuationSeparator" w:id="0">
    <w:p w14:paraId="68B70331" w14:textId="77777777" w:rsidR="00096DB8" w:rsidRDefault="00096DB8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77CF" w14:textId="5F3EAA27" w:rsidR="00673C00" w:rsidRDefault="00673C00">
    <w:pPr>
      <w:pStyle w:val="Nagwek"/>
    </w:pPr>
    <w:bookmarkStart w:id="1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338212E9" wp14:editId="201C3456">
          <wp:extent cx="5753100" cy="933450"/>
          <wp:effectExtent l="0" t="0" r="0" b="0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1E3AD74" w14:textId="77777777" w:rsidR="00673C00" w:rsidRDefault="00673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43DF6"/>
    <w:rsid w:val="000550E9"/>
    <w:rsid w:val="00072BA2"/>
    <w:rsid w:val="00072C59"/>
    <w:rsid w:val="0007796D"/>
    <w:rsid w:val="0008008C"/>
    <w:rsid w:val="00087E94"/>
    <w:rsid w:val="00096DB8"/>
    <w:rsid w:val="000978B6"/>
    <w:rsid w:val="000B277D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04AEA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C63BF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77EE7"/>
    <w:rsid w:val="00381AF8"/>
    <w:rsid w:val="003900D5"/>
    <w:rsid w:val="00397F79"/>
    <w:rsid w:val="003A08BD"/>
    <w:rsid w:val="003B4508"/>
    <w:rsid w:val="003D5E99"/>
    <w:rsid w:val="003E0B44"/>
    <w:rsid w:val="003E0F78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91F80"/>
    <w:rsid w:val="004A5F0B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5A98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03B16"/>
    <w:rsid w:val="00662495"/>
    <w:rsid w:val="0066723E"/>
    <w:rsid w:val="00673C00"/>
    <w:rsid w:val="00682A7E"/>
    <w:rsid w:val="006A35B1"/>
    <w:rsid w:val="006B228F"/>
    <w:rsid w:val="006C2361"/>
    <w:rsid w:val="006D1C84"/>
    <w:rsid w:val="006D59A9"/>
    <w:rsid w:val="006E387F"/>
    <w:rsid w:val="006E6187"/>
    <w:rsid w:val="006E7FD7"/>
    <w:rsid w:val="006F7391"/>
    <w:rsid w:val="006F79EE"/>
    <w:rsid w:val="0070149A"/>
    <w:rsid w:val="00703A88"/>
    <w:rsid w:val="0070785B"/>
    <w:rsid w:val="0072326B"/>
    <w:rsid w:val="00725963"/>
    <w:rsid w:val="00733B68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C7CB8"/>
    <w:rsid w:val="007D1D5D"/>
    <w:rsid w:val="007D2AC4"/>
    <w:rsid w:val="007D3E62"/>
    <w:rsid w:val="007E380F"/>
    <w:rsid w:val="007F24BB"/>
    <w:rsid w:val="008009EA"/>
    <w:rsid w:val="008131AF"/>
    <w:rsid w:val="00840C04"/>
    <w:rsid w:val="00844CB4"/>
    <w:rsid w:val="008560F6"/>
    <w:rsid w:val="00864BD2"/>
    <w:rsid w:val="00874CA5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726CC"/>
    <w:rsid w:val="00981DBE"/>
    <w:rsid w:val="009A57FF"/>
    <w:rsid w:val="009B224B"/>
    <w:rsid w:val="009D094F"/>
    <w:rsid w:val="009D0DAB"/>
    <w:rsid w:val="009D7257"/>
    <w:rsid w:val="009F0DC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771BE"/>
    <w:rsid w:val="00AA346B"/>
    <w:rsid w:val="00AE1239"/>
    <w:rsid w:val="00AF54B0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46749"/>
    <w:rsid w:val="00C52E78"/>
    <w:rsid w:val="00C634A1"/>
    <w:rsid w:val="00C7357A"/>
    <w:rsid w:val="00C97037"/>
    <w:rsid w:val="00C970C6"/>
    <w:rsid w:val="00CB6B44"/>
    <w:rsid w:val="00CC4AFE"/>
    <w:rsid w:val="00CC6C1B"/>
    <w:rsid w:val="00CD023F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B284D"/>
    <w:rsid w:val="00EC14E3"/>
    <w:rsid w:val="00ED1C0E"/>
    <w:rsid w:val="00EF0170"/>
    <w:rsid w:val="00EF3759"/>
    <w:rsid w:val="00F25B36"/>
    <w:rsid w:val="00F41391"/>
    <w:rsid w:val="00F51098"/>
    <w:rsid w:val="00F52FD6"/>
    <w:rsid w:val="00F661CB"/>
    <w:rsid w:val="00F73329"/>
    <w:rsid w:val="00FB2FA7"/>
    <w:rsid w:val="00FC5DA1"/>
    <w:rsid w:val="00FE34CD"/>
    <w:rsid w:val="00FE4807"/>
    <w:rsid w:val="00FE5473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Inne">
    <w:name w:val="Inne_"/>
    <w:basedOn w:val="Domylnaczcionkaakapitu"/>
    <w:link w:val="Inne0"/>
    <w:rsid w:val="00725963"/>
    <w:rPr>
      <w:rFonts w:ascii="Tahoma" w:eastAsia="Tahoma" w:hAnsi="Tahoma" w:cs="Tahoma"/>
      <w:sz w:val="18"/>
      <w:szCs w:val="18"/>
    </w:rPr>
  </w:style>
  <w:style w:type="paragraph" w:customStyle="1" w:styleId="Inne0">
    <w:name w:val="Inne"/>
    <w:basedOn w:val="Normalny"/>
    <w:link w:val="Inne"/>
    <w:rsid w:val="00725963"/>
    <w:pPr>
      <w:suppressAutoHyphens w:val="0"/>
    </w:pPr>
    <w:rPr>
      <w:rFonts w:ascii="Tahoma" w:eastAsia="Tahoma" w:hAnsi="Tahoma" w:cs="Tahoma"/>
      <w:kern w:val="0"/>
      <w:sz w:val="18"/>
      <w:szCs w:val="18"/>
      <w:lang w:eastAsia="en-US" w:bidi="ar-SA"/>
    </w:rPr>
  </w:style>
  <w:style w:type="paragraph" w:customStyle="1" w:styleId="Default">
    <w:name w:val="Default"/>
    <w:qFormat/>
    <w:rsid w:val="0084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239E-0EA9-408E-A410-4B7D69F8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3</cp:revision>
  <cp:lastPrinted>2019-11-20T12:30:00Z</cp:lastPrinted>
  <dcterms:created xsi:type="dcterms:W3CDTF">2021-11-22T08:16:00Z</dcterms:created>
  <dcterms:modified xsi:type="dcterms:W3CDTF">2021-11-22T12:08:00Z</dcterms:modified>
</cp:coreProperties>
</file>